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20DEA" w14:textId="77777777" w:rsidR="00FE067E" w:rsidRDefault="003C6034" w:rsidP="00CC1F3B">
      <w:pPr>
        <w:pStyle w:val="TitlePageOrigin"/>
      </w:pPr>
      <w:r>
        <w:rPr>
          <w:caps w:val="0"/>
        </w:rPr>
        <w:t>WEST VIRGINIA LEGISLATURE</w:t>
      </w:r>
    </w:p>
    <w:p w14:paraId="14AC7F23"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38960CE0" w14:textId="77777777" w:rsidR="00CD36CF" w:rsidRDefault="007F528F" w:rsidP="00CC1F3B">
      <w:pPr>
        <w:pStyle w:val="TitlePageBillPrefix"/>
      </w:pPr>
      <w:sdt>
        <w:sdtPr>
          <w:tag w:val="IntroDate"/>
          <w:id w:val="-1236936958"/>
          <w:placeholder>
            <w:docPart w:val="5A4805A4558E42C183E3E794FD1B85AB"/>
          </w:placeholder>
          <w:text/>
        </w:sdtPr>
        <w:sdtEndPr/>
        <w:sdtContent>
          <w:r w:rsidR="00AE48A0">
            <w:t>Introduced</w:t>
          </w:r>
        </w:sdtContent>
      </w:sdt>
    </w:p>
    <w:p w14:paraId="6F78B8D3" w14:textId="4CB494CB" w:rsidR="00CD36CF" w:rsidRDefault="007F528F" w:rsidP="00CC1F3B">
      <w:pPr>
        <w:pStyle w:val="BillNumber"/>
      </w:pPr>
      <w:sdt>
        <w:sdtPr>
          <w:tag w:val="Chamber"/>
          <w:id w:val="893011969"/>
          <w:lock w:val="sdtLocked"/>
          <w:placeholder>
            <w:docPart w:val="63BE77EA873D486485680C53AE1715DC"/>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25F63E5D690D4F8D91A293A4BB144805"/>
          </w:placeholder>
          <w:text/>
        </w:sdtPr>
        <w:sdtEndPr/>
        <w:sdtContent>
          <w:r>
            <w:t>3033</w:t>
          </w:r>
        </w:sdtContent>
      </w:sdt>
    </w:p>
    <w:p w14:paraId="0557737D" w14:textId="45500E4C" w:rsidR="00CD36CF" w:rsidRDefault="00CD36CF" w:rsidP="00CC1F3B">
      <w:pPr>
        <w:pStyle w:val="Sponsors"/>
      </w:pPr>
      <w:r>
        <w:t xml:space="preserve">By </w:t>
      </w:r>
      <w:sdt>
        <w:sdtPr>
          <w:tag w:val="Sponsors"/>
          <w:id w:val="1589585889"/>
          <w:placeholder>
            <w:docPart w:val="CE4BBEDB08B14E1F83C8A27CF2207A74"/>
          </w:placeholder>
          <w:text w:multiLine="1"/>
        </w:sdtPr>
        <w:sdtEndPr/>
        <w:sdtContent>
          <w:r w:rsidR="00676493">
            <w:t>Delegate</w:t>
          </w:r>
          <w:r w:rsidR="0046702A">
            <w:t>s</w:t>
          </w:r>
          <w:r w:rsidR="00676493">
            <w:t xml:space="preserve"> Fehrenbacher</w:t>
          </w:r>
          <w:r w:rsidR="0046702A">
            <w:t>, Kump, Dittman, Mallow, and Hott</w:t>
          </w:r>
        </w:sdtContent>
      </w:sdt>
    </w:p>
    <w:p w14:paraId="06F62734" w14:textId="5DA6EB58" w:rsidR="00E831B3" w:rsidRDefault="00CD36CF" w:rsidP="00CC1F3B">
      <w:pPr>
        <w:pStyle w:val="References"/>
      </w:pPr>
      <w:r>
        <w:t>[</w:t>
      </w:r>
      <w:sdt>
        <w:sdtPr>
          <w:tag w:val="References"/>
          <w:id w:val="-1043047873"/>
          <w:placeholder>
            <w:docPart w:val="F8EF156811BA4410AEDC965661F5DA2C"/>
          </w:placeholder>
          <w:text w:multiLine="1"/>
        </w:sdtPr>
        <w:sdtEndPr/>
        <w:sdtContent>
          <w:r w:rsidR="007F528F">
            <w:t>Introduced February 28, 2025; referred to the Committee on the Judiciary</w:t>
          </w:r>
        </w:sdtContent>
      </w:sdt>
      <w:r>
        <w:t>]</w:t>
      </w:r>
    </w:p>
    <w:p w14:paraId="2C4AB07C" w14:textId="4AAA03D6" w:rsidR="00303684" w:rsidRDefault="0000526A" w:rsidP="00CC1F3B">
      <w:pPr>
        <w:pStyle w:val="TitleSection"/>
      </w:pPr>
      <w:r>
        <w:lastRenderedPageBreak/>
        <w:t>A BILL</w:t>
      </w:r>
      <w:r w:rsidR="00676493">
        <w:t xml:space="preserve"> </w:t>
      </w:r>
      <w:r w:rsidR="00676493" w:rsidRPr="009F2CE5">
        <w:rPr>
          <w:rFonts w:cs="Arial"/>
          <w:color w:val="auto"/>
        </w:rPr>
        <w:t xml:space="preserve">to amend </w:t>
      </w:r>
      <w:r w:rsidR="00676493">
        <w:rPr>
          <w:rFonts w:cs="Arial"/>
          <w:color w:val="auto"/>
        </w:rPr>
        <w:t xml:space="preserve">and reenact §55-2-6 of </w:t>
      </w:r>
      <w:r w:rsidR="00676493" w:rsidRPr="009F2CE5">
        <w:rPr>
          <w:rFonts w:cs="Arial"/>
          <w:color w:val="auto"/>
        </w:rPr>
        <w:t xml:space="preserve">the Code of West Virginia, 1931, as amended, </w:t>
      </w:r>
      <w:r w:rsidR="00676493">
        <w:rPr>
          <w:rFonts w:cs="Arial"/>
          <w:color w:val="auto"/>
        </w:rPr>
        <w:t>to shorten the statute of limitations for actions upon written and oral contracts.</w:t>
      </w:r>
    </w:p>
    <w:p w14:paraId="48616089" w14:textId="77777777" w:rsidR="00303684" w:rsidRDefault="00303684" w:rsidP="00CC1F3B">
      <w:pPr>
        <w:pStyle w:val="EnactingClause"/>
      </w:pPr>
      <w:r>
        <w:t>Be it enacted by the Legislature of West Virginia:</w:t>
      </w:r>
    </w:p>
    <w:p w14:paraId="5AC1394A"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11645B0" w14:textId="33982B7E" w:rsidR="00676493" w:rsidRPr="00676493" w:rsidRDefault="00676493" w:rsidP="00676493">
      <w:pPr>
        <w:pStyle w:val="ArticleHeading"/>
        <w:sectPr w:rsidR="00676493" w:rsidRPr="00676493" w:rsidSect="00676493">
          <w:headerReference w:type="default" r:id="rId14"/>
          <w:footerReference w:type="default" r:id="rId15"/>
          <w:type w:val="continuous"/>
          <w:pgSz w:w="12240" w:h="15840"/>
          <w:pgMar w:top="1440" w:right="1440" w:bottom="1440" w:left="1440" w:header="1440" w:footer="1440" w:gutter="0"/>
          <w:lnNumType w:countBy="1" w:restart="continuous"/>
          <w:cols w:space="720"/>
          <w:noEndnote/>
          <w:titlePg/>
          <w:docGrid w:linePitch="326"/>
        </w:sectPr>
      </w:pPr>
      <w:r w:rsidRPr="00676493">
        <w:t>Article 2.  limitation of actions and suits</w:t>
      </w:r>
      <w:r>
        <w:t>.</w:t>
      </w:r>
    </w:p>
    <w:p w14:paraId="71F19DA6" w14:textId="7477D127" w:rsidR="00676493" w:rsidRPr="009F2CE5" w:rsidRDefault="00676493" w:rsidP="00676493">
      <w:pPr>
        <w:pStyle w:val="ArticleHeading"/>
        <w:rPr>
          <w:rFonts w:cs="Arial"/>
          <w:sz w:val="22"/>
        </w:rPr>
      </w:pPr>
      <w:r w:rsidRPr="009F2CE5">
        <w:rPr>
          <w:rFonts w:cs="Arial"/>
          <w:sz w:val="22"/>
        </w:rPr>
        <w:t>§</w:t>
      </w:r>
      <w:r>
        <w:rPr>
          <w:rFonts w:cs="Arial"/>
          <w:sz w:val="22"/>
        </w:rPr>
        <w:t xml:space="preserve">55-2-6. Actions to recover on award or contract other than judgment or recognizance. </w:t>
      </w:r>
    </w:p>
    <w:p w14:paraId="5D39DE91" w14:textId="18392F75" w:rsidR="00676493" w:rsidRPr="009F2CE5" w:rsidRDefault="00676493" w:rsidP="00676493">
      <w:pPr>
        <w:ind w:firstLine="720"/>
        <w:jc w:val="both"/>
        <w:rPr>
          <w:rFonts w:eastAsia="Calibri" w:cs="Arial"/>
          <w:color w:val="000000"/>
        </w:rPr>
        <w:sectPr w:rsidR="00676493" w:rsidRPr="009F2CE5" w:rsidSect="00676493">
          <w:headerReference w:type="even" r:id="rId16"/>
          <w:headerReference w:type="default" r:id="rId17"/>
          <w:footerReference w:type="even" r:id="rId18"/>
          <w:headerReference w:type="first" r:id="rId19"/>
          <w:type w:val="continuous"/>
          <w:pgSz w:w="12240" w:h="15840"/>
          <w:pgMar w:top="1440" w:right="1440" w:bottom="1440" w:left="1440" w:header="1440" w:footer="1440" w:gutter="0"/>
          <w:lnNumType w:countBy="1" w:restart="newSection"/>
          <w:cols w:space="720"/>
          <w:noEndnote/>
          <w:docGrid w:linePitch="326"/>
        </w:sectPr>
      </w:pPr>
      <w:r w:rsidRPr="00EE2101">
        <w:rPr>
          <w:rFonts w:eastAsia="Times New Roman" w:cs="Arial"/>
          <w:color w:val="000000"/>
        </w:rPr>
        <w:t xml:space="preserve">Every action to recover money, which is founded upon an award, or on any contract other than a judgment or recognizance, shall be brought within the following number of years next after the right to bring the same shall have accrued, that is to say: If the case be upon an indemnifying bond taken under any statute, or upon a bond of an executor, administrator or guardian, curator, committee, sheriff or deputy sheriff, clerk or deputy clerk, or any other fiduciary or public officer, within </w:t>
      </w:r>
      <w:r w:rsidRPr="00EE2101">
        <w:rPr>
          <w:rFonts w:eastAsia="Times New Roman" w:cs="Arial"/>
          <w:strike/>
          <w:color w:val="000000"/>
        </w:rPr>
        <w:t>ten</w:t>
      </w:r>
      <w:r w:rsidRPr="00EE2101">
        <w:rPr>
          <w:rFonts w:eastAsia="Times New Roman" w:cs="Arial"/>
          <w:color w:val="000000"/>
        </w:rPr>
        <w:t xml:space="preserve"> </w:t>
      </w:r>
      <w:r>
        <w:rPr>
          <w:rFonts w:eastAsia="Times New Roman" w:cs="Arial"/>
          <w:color w:val="000000"/>
          <w:u w:val="single"/>
        </w:rPr>
        <w:t>five</w:t>
      </w:r>
      <w:r w:rsidRPr="00EE2101">
        <w:rPr>
          <w:rFonts w:eastAsia="Times New Roman" w:cs="Arial"/>
          <w:color w:val="000000"/>
        </w:rPr>
        <w:t xml:space="preserve"> years; if it be upon any other contract in writing under seal, within </w:t>
      </w:r>
      <w:r w:rsidRPr="00EE2101">
        <w:rPr>
          <w:rFonts w:eastAsia="Times New Roman" w:cs="Arial"/>
          <w:strike/>
          <w:color w:val="000000"/>
        </w:rPr>
        <w:t>ten</w:t>
      </w:r>
      <w:r w:rsidRPr="00EE2101">
        <w:rPr>
          <w:rFonts w:eastAsia="Times New Roman" w:cs="Arial"/>
          <w:color w:val="000000"/>
        </w:rPr>
        <w:t xml:space="preserve"> </w:t>
      </w:r>
      <w:r>
        <w:rPr>
          <w:rFonts w:eastAsia="Times New Roman" w:cs="Arial"/>
          <w:color w:val="000000"/>
          <w:u w:val="single"/>
        </w:rPr>
        <w:t>five</w:t>
      </w:r>
      <w:r>
        <w:rPr>
          <w:rFonts w:eastAsia="Times New Roman" w:cs="Arial"/>
          <w:color w:val="000000"/>
        </w:rPr>
        <w:t xml:space="preserve"> </w:t>
      </w:r>
      <w:r w:rsidRPr="00EE2101">
        <w:rPr>
          <w:rFonts w:eastAsia="Times New Roman" w:cs="Arial"/>
          <w:color w:val="000000"/>
        </w:rPr>
        <w:t>years; if it be upon an award, or upon a contract in writing, signed by the party to be charged thereby, or by hi</w:t>
      </w:r>
      <w:r w:rsidRPr="00D77EB5">
        <w:rPr>
          <w:rFonts w:eastAsia="Times New Roman" w:cs="Arial"/>
          <w:color w:val="auto"/>
        </w:rPr>
        <w:t xml:space="preserve">s </w:t>
      </w:r>
      <w:r w:rsidR="00B73CE1" w:rsidRPr="00D77EB5">
        <w:rPr>
          <w:rFonts w:eastAsia="Times New Roman" w:cs="Arial"/>
          <w:color w:val="auto"/>
          <w:u w:val="single"/>
        </w:rPr>
        <w:t>or her</w:t>
      </w:r>
      <w:r w:rsidR="00B73CE1" w:rsidRPr="00D77EB5">
        <w:rPr>
          <w:rFonts w:eastAsia="Times New Roman" w:cs="Arial"/>
          <w:color w:val="auto"/>
        </w:rPr>
        <w:t xml:space="preserve"> </w:t>
      </w:r>
      <w:r w:rsidRPr="00D77EB5">
        <w:rPr>
          <w:rFonts w:eastAsia="Times New Roman" w:cs="Arial"/>
          <w:color w:val="auto"/>
        </w:rPr>
        <w:t>ag</w:t>
      </w:r>
      <w:r w:rsidRPr="00EE2101">
        <w:rPr>
          <w:rFonts w:eastAsia="Times New Roman" w:cs="Arial"/>
          <w:color w:val="000000"/>
        </w:rPr>
        <w:t xml:space="preserve">ent, but not under seal, within </w:t>
      </w:r>
      <w:r w:rsidRPr="00EE2101">
        <w:rPr>
          <w:rFonts w:eastAsia="Times New Roman" w:cs="Arial"/>
          <w:strike/>
          <w:color w:val="000000"/>
        </w:rPr>
        <w:t>ten</w:t>
      </w:r>
      <w:r w:rsidRPr="00EE2101">
        <w:rPr>
          <w:rFonts w:eastAsia="Times New Roman" w:cs="Arial"/>
          <w:color w:val="000000"/>
        </w:rPr>
        <w:t xml:space="preserve"> </w:t>
      </w:r>
      <w:r>
        <w:rPr>
          <w:rFonts w:eastAsia="Times New Roman" w:cs="Arial"/>
          <w:color w:val="000000"/>
          <w:u w:val="single"/>
        </w:rPr>
        <w:t>five</w:t>
      </w:r>
      <w:r w:rsidRPr="00EE2101">
        <w:rPr>
          <w:rFonts w:eastAsia="Times New Roman" w:cs="Arial"/>
          <w:color w:val="000000"/>
        </w:rPr>
        <w:t xml:space="preserve"> years; and if it be upon any other contract, express or implied, within </w:t>
      </w:r>
      <w:r w:rsidRPr="00EE2101">
        <w:rPr>
          <w:rFonts w:eastAsia="Times New Roman" w:cs="Arial"/>
          <w:strike/>
          <w:color w:val="000000"/>
        </w:rPr>
        <w:t>five</w:t>
      </w:r>
      <w:r w:rsidRPr="00EE2101">
        <w:rPr>
          <w:rFonts w:eastAsia="Times New Roman" w:cs="Arial"/>
          <w:color w:val="000000"/>
        </w:rPr>
        <w:t xml:space="preserve"> </w:t>
      </w:r>
      <w:r>
        <w:rPr>
          <w:rFonts w:eastAsia="Times New Roman" w:cs="Arial"/>
          <w:color w:val="000000"/>
          <w:u w:val="single"/>
        </w:rPr>
        <w:t>three</w:t>
      </w:r>
      <w:r>
        <w:rPr>
          <w:rFonts w:eastAsia="Times New Roman" w:cs="Arial"/>
          <w:color w:val="000000"/>
        </w:rPr>
        <w:t xml:space="preserve"> </w:t>
      </w:r>
      <w:r w:rsidRPr="00EE2101">
        <w:rPr>
          <w:rFonts w:eastAsia="Times New Roman" w:cs="Arial"/>
          <w:color w:val="000000"/>
        </w:rPr>
        <w:t>years, unless it be an action by one party against h</w:t>
      </w:r>
      <w:r w:rsidRPr="00D77EB5">
        <w:rPr>
          <w:rFonts w:eastAsia="Times New Roman" w:cs="Arial"/>
          <w:color w:val="auto"/>
        </w:rPr>
        <w:t>is</w:t>
      </w:r>
      <w:r w:rsidR="00BF14FB" w:rsidRPr="00D77EB5">
        <w:rPr>
          <w:rFonts w:eastAsia="Times New Roman" w:cs="Arial"/>
          <w:color w:val="auto"/>
        </w:rPr>
        <w:t xml:space="preserve"> </w:t>
      </w:r>
      <w:r w:rsidR="00BF14FB" w:rsidRPr="00D77EB5">
        <w:rPr>
          <w:rFonts w:eastAsia="Times New Roman" w:cs="Arial"/>
          <w:color w:val="auto"/>
          <w:u w:val="single"/>
        </w:rPr>
        <w:t>or her</w:t>
      </w:r>
      <w:r w:rsidRPr="00D77EB5">
        <w:rPr>
          <w:rFonts w:eastAsia="Times New Roman" w:cs="Arial"/>
          <w:color w:val="auto"/>
        </w:rPr>
        <w:t xml:space="preserve"> </w:t>
      </w:r>
      <w:r w:rsidRPr="00EE2101">
        <w:rPr>
          <w:rFonts w:eastAsia="Times New Roman" w:cs="Arial"/>
          <w:color w:val="000000"/>
        </w:rPr>
        <w:t xml:space="preserve">copartner for a settlement of the partnership accounts, or upon accounts concerning the trade or merchandise between merchant and merchant, their factors or servants, where the action of account would lie, in either of which cases the action may be brought until the expiration of </w:t>
      </w:r>
      <w:r w:rsidRPr="00EE2101">
        <w:rPr>
          <w:rFonts w:eastAsia="Times New Roman" w:cs="Arial"/>
          <w:strike/>
          <w:color w:val="000000"/>
        </w:rPr>
        <w:t>five</w:t>
      </w:r>
      <w:r w:rsidRPr="00EE2101">
        <w:rPr>
          <w:rFonts w:eastAsia="Times New Roman" w:cs="Arial"/>
          <w:color w:val="000000"/>
        </w:rPr>
        <w:t xml:space="preserve"> </w:t>
      </w:r>
      <w:r w:rsidRPr="000A0112">
        <w:rPr>
          <w:rFonts w:eastAsia="Times New Roman" w:cs="Arial"/>
          <w:color w:val="000000"/>
          <w:u w:val="single"/>
        </w:rPr>
        <w:t>three</w:t>
      </w:r>
      <w:r>
        <w:rPr>
          <w:rFonts w:eastAsia="Times New Roman" w:cs="Arial"/>
          <w:color w:val="000000"/>
        </w:rPr>
        <w:t xml:space="preserve"> </w:t>
      </w:r>
      <w:r w:rsidRPr="000A0112">
        <w:rPr>
          <w:rFonts w:eastAsia="Times New Roman" w:cs="Arial"/>
          <w:color w:val="000000"/>
        </w:rPr>
        <w:t>years</w:t>
      </w:r>
      <w:r w:rsidRPr="00EE2101">
        <w:rPr>
          <w:rFonts w:eastAsia="Times New Roman" w:cs="Arial"/>
          <w:color w:val="000000"/>
        </w:rPr>
        <w:t xml:space="preserve"> from a cessation of the dealings in which they are interested together, but not after</w:t>
      </w:r>
      <w:r>
        <w:rPr>
          <w:rFonts w:eastAsia="Times New Roman" w:cs="Arial"/>
          <w:color w:val="000000"/>
        </w:rPr>
        <w:t>.</w:t>
      </w:r>
    </w:p>
    <w:p w14:paraId="73DD527E" w14:textId="77777777" w:rsidR="00C33014" w:rsidRDefault="00C33014" w:rsidP="00CC1F3B">
      <w:pPr>
        <w:pStyle w:val="Note"/>
      </w:pPr>
    </w:p>
    <w:p w14:paraId="0CB29D25" w14:textId="743383B1" w:rsidR="006865E9" w:rsidRDefault="00CF1DCA" w:rsidP="00CC1F3B">
      <w:pPr>
        <w:pStyle w:val="Note"/>
      </w:pPr>
      <w:r>
        <w:t>NOTE: The</w:t>
      </w:r>
      <w:r w:rsidR="006865E9">
        <w:t xml:space="preserve"> purpose of th</w:t>
      </w:r>
      <w:r w:rsidR="00676493">
        <w:t xml:space="preserve">is bill is to </w:t>
      </w:r>
      <w:r w:rsidR="00676493">
        <w:rPr>
          <w:color w:val="auto"/>
        </w:rPr>
        <w:t xml:space="preserve">shorten the statute of limitations for breach of written contract actions from </w:t>
      </w:r>
      <w:r w:rsidR="00245CDB">
        <w:rPr>
          <w:color w:val="auto"/>
        </w:rPr>
        <w:t>10</w:t>
      </w:r>
      <w:r w:rsidR="00676493">
        <w:rPr>
          <w:color w:val="auto"/>
        </w:rPr>
        <w:t xml:space="preserve"> years to five and, for oral contracts, from five years to three. In doing so, it </w:t>
      </w:r>
      <w:r w:rsidR="00245CDB" w:rsidRPr="00245CDB">
        <w:rPr>
          <w:color w:val="2E74B5" w:themeColor="accent1" w:themeShade="BF"/>
          <w:u w:val="single"/>
        </w:rPr>
        <w:t>is</w:t>
      </w:r>
      <w:r w:rsidR="00245CDB">
        <w:rPr>
          <w:color w:val="auto"/>
        </w:rPr>
        <w:t xml:space="preserve"> </w:t>
      </w:r>
      <w:r w:rsidR="00676493">
        <w:rPr>
          <w:color w:val="auto"/>
        </w:rPr>
        <w:t>the intention of the Legislature to bring West Virginia’s statutes of limitation in line with the laws of other states.</w:t>
      </w:r>
    </w:p>
    <w:p w14:paraId="3B43412D"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F704A" w14:textId="77777777" w:rsidR="00676493" w:rsidRPr="00B844FE" w:rsidRDefault="00676493" w:rsidP="00B844FE">
      <w:r>
        <w:separator/>
      </w:r>
    </w:p>
  </w:endnote>
  <w:endnote w:type="continuationSeparator" w:id="0">
    <w:p w14:paraId="5D137D90" w14:textId="77777777" w:rsidR="00676493" w:rsidRPr="00B844FE" w:rsidRDefault="0067649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15CFB8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729E36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77AF02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F53A" w14:textId="77777777" w:rsidR="0098507B" w:rsidRDefault="009850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0EEE" w14:textId="77777777" w:rsidR="00676493" w:rsidRDefault="00676493">
    <w:pPr>
      <w:spacing w:line="240" w:lineRule="exact"/>
    </w:pPr>
  </w:p>
  <w:p w14:paraId="324181A7" w14:textId="77777777" w:rsidR="00676493" w:rsidRPr="00A16BC8" w:rsidRDefault="00676493">
    <w:pPr>
      <w:framePr w:w="9361" w:wrap="notBeside" w:vAnchor="text" w:hAnchor="text" w:x="1" w:y="1"/>
      <w:jc w:val="center"/>
      <w:rPr>
        <w:rFonts w:cs="Arial"/>
      </w:rPr>
    </w:pPr>
    <w:r w:rsidRPr="00A16BC8">
      <w:rPr>
        <w:rFonts w:cs="Arial"/>
      </w:rPr>
      <w:fldChar w:fldCharType="begin"/>
    </w:r>
    <w:r w:rsidRPr="00A16BC8">
      <w:rPr>
        <w:rFonts w:cs="Arial"/>
      </w:rPr>
      <w:instrText xml:space="preserve">PAGE </w:instrText>
    </w:r>
    <w:r w:rsidRPr="00A16BC8">
      <w:rPr>
        <w:rFonts w:cs="Arial"/>
      </w:rPr>
      <w:fldChar w:fldCharType="separate"/>
    </w:r>
    <w:r w:rsidRPr="00A16BC8">
      <w:rPr>
        <w:rFonts w:cs="Arial"/>
        <w:noProof/>
      </w:rPr>
      <w:t>1</w:t>
    </w:r>
    <w:r w:rsidRPr="00A16BC8">
      <w:rPr>
        <w:rFonts w:cs="Arial"/>
      </w:rPr>
      <w:fldChar w:fldCharType="end"/>
    </w:r>
  </w:p>
  <w:p w14:paraId="1617A3B2" w14:textId="77777777" w:rsidR="00676493" w:rsidRDefault="0067649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139060"/>
      <w:docPartObj>
        <w:docPartGallery w:val="Page Numbers (Bottom of Page)"/>
        <w:docPartUnique/>
      </w:docPartObj>
    </w:sdtPr>
    <w:sdtEndPr/>
    <w:sdtContent>
      <w:p w14:paraId="281F4963" w14:textId="77777777" w:rsidR="00676493" w:rsidRPr="00B844FE" w:rsidRDefault="00676493" w:rsidP="003E2E8A">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34F2DC2" w14:textId="77777777" w:rsidR="00676493" w:rsidRDefault="00676493" w:rsidP="003E2E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4493B" w14:textId="77777777" w:rsidR="00676493" w:rsidRPr="00B844FE" w:rsidRDefault="00676493" w:rsidP="00B844FE">
      <w:r>
        <w:separator/>
      </w:r>
    </w:p>
  </w:footnote>
  <w:footnote w:type="continuationSeparator" w:id="0">
    <w:p w14:paraId="3A85DB58" w14:textId="77777777" w:rsidR="00676493" w:rsidRPr="00B844FE" w:rsidRDefault="0067649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76474" w14:textId="77777777" w:rsidR="002A0269" w:rsidRPr="00B844FE" w:rsidRDefault="007F528F">
    <w:pPr>
      <w:pStyle w:val="Header"/>
    </w:pPr>
    <w:sdt>
      <w:sdtPr>
        <w:id w:val="-684364211"/>
        <w:placeholder>
          <w:docPart w:val="63BE77EA873D486485680C53AE1715D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3BE77EA873D486485680C53AE1715D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5D7F8" w14:textId="1308584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676493">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76493">
          <w:rPr>
            <w:sz w:val="22"/>
            <w:szCs w:val="22"/>
          </w:rPr>
          <w:t>2025R3304</w:t>
        </w:r>
      </w:sdtContent>
    </w:sdt>
  </w:p>
  <w:p w14:paraId="26DB2CA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F4D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C52A5" w14:textId="77777777" w:rsidR="00676493" w:rsidRDefault="00676493">
    <w:pPr>
      <w:pStyle w:val="Header"/>
    </w:pPr>
    <w:r>
      <w:t>Intr HB</w:t>
    </w:r>
    <w:r>
      <w:tab/>
    </w:r>
    <w:r>
      <w:tab/>
      <w:t>2025R3304</w:t>
    </w:r>
  </w:p>
  <w:p w14:paraId="727B5862" w14:textId="77777777" w:rsidR="00676493" w:rsidRDefault="006764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44DC" w14:textId="77777777" w:rsidR="00676493" w:rsidRPr="00B844FE" w:rsidRDefault="007F528F">
    <w:pPr>
      <w:pStyle w:val="Header"/>
    </w:pPr>
    <w:sdt>
      <w:sdtPr>
        <w:id w:val="-1257669665"/>
        <w:temporary/>
        <w:showingPlcHdr/>
        <w15:appearance w15:val="hidden"/>
      </w:sdtPr>
      <w:sdtEndPr/>
      <w:sdtContent>
        <w:r w:rsidR="00676493" w:rsidRPr="00B844FE">
          <w:t>[Type here]</w:t>
        </w:r>
      </w:sdtContent>
    </w:sdt>
    <w:r w:rsidR="00676493" w:rsidRPr="00B844FE">
      <w:ptab w:relativeTo="margin" w:alignment="left" w:leader="none"/>
    </w:r>
    <w:sdt>
      <w:sdtPr>
        <w:id w:val="1918206829"/>
        <w:temporary/>
        <w:showingPlcHdr/>
        <w15:appearance w15:val="hidden"/>
      </w:sdtPr>
      <w:sdtEndPr/>
      <w:sdtContent>
        <w:r w:rsidR="00676493" w:rsidRPr="00B844FE">
          <w:t>[Type here]</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076E" w14:textId="77777777" w:rsidR="00676493" w:rsidRPr="000A0112" w:rsidRDefault="00676493" w:rsidP="000A0112">
    <w:pPr>
      <w:pStyle w:val="Header"/>
    </w:pPr>
    <w:r>
      <w:t>Intr HB</w:t>
    </w:r>
    <w:r>
      <w:tab/>
    </w:r>
    <w:r>
      <w:tab/>
      <w:t>2025R3304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836E5" w14:textId="77777777" w:rsidR="00676493" w:rsidRPr="002A0269" w:rsidRDefault="007F528F" w:rsidP="003E2E8A">
    <w:pPr>
      <w:pStyle w:val="HeaderStyle"/>
    </w:pPr>
    <w:sdt>
      <w:sdtPr>
        <w:tag w:val="BNumWH"/>
        <w:id w:val="-1890952866"/>
        <w:showingPlcHdr/>
        <w:text/>
      </w:sdtPr>
      <w:sdtEndPr/>
      <w:sdtContent/>
    </w:sdt>
    <w:r w:rsidR="00676493">
      <w:t xml:space="preserve"> </w:t>
    </w:r>
    <w:r w:rsidR="00676493" w:rsidRPr="002A0269">
      <w:ptab w:relativeTo="margin" w:alignment="center" w:leader="none"/>
    </w:r>
    <w:r w:rsidR="00676493">
      <w:tab/>
    </w:r>
    <w:sdt>
      <w:sdtPr>
        <w:alias w:val="CBD Number"/>
        <w:tag w:val="CBD Number"/>
        <w:id w:val="-944383718"/>
        <w:showingPlcHdr/>
        <w:text/>
      </w:sdtPr>
      <w:sdtEndPr/>
      <w:sdtContent>
        <w:r w:rsidR="00676493">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493"/>
    <w:rsid w:val="0000526A"/>
    <w:rsid w:val="000573A9"/>
    <w:rsid w:val="000834B5"/>
    <w:rsid w:val="00085D22"/>
    <w:rsid w:val="00093AB0"/>
    <w:rsid w:val="000C5C77"/>
    <w:rsid w:val="000E3912"/>
    <w:rsid w:val="0010070F"/>
    <w:rsid w:val="0015112E"/>
    <w:rsid w:val="001552E7"/>
    <w:rsid w:val="001566B4"/>
    <w:rsid w:val="001A66B7"/>
    <w:rsid w:val="001C279E"/>
    <w:rsid w:val="001D459E"/>
    <w:rsid w:val="00211F02"/>
    <w:rsid w:val="00215862"/>
    <w:rsid w:val="0022348D"/>
    <w:rsid w:val="00245CDB"/>
    <w:rsid w:val="00254BC1"/>
    <w:rsid w:val="0027011C"/>
    <w:rsid w:val="00274200"/>
    <w:rsid w:val="00275740"/>
    <w:rsid w:val="002A0269"/>
    <w:rsid w:val="00303684"/>
    <w:rsid w:val="003143F5"/>
    <w:rsid w:val="00314854"/>
    <w:rsid w:val="003158EC"/>
    <w:rsid w:val="00394191"/>
    <w:rsid w:val="003C51CD"/>
    <w:rsid w:val="003C6034"/>
    <w:rsid w:val="00400B5C"/>
    <w:rsid w:val="004368E0"/>
    <w:rsid w:val="00443331"/>
    <w:rsid w:val="0046702A"/>
    <w:rsid w:val="004C13DD"/>
    <w:rsid w:val="004D3ABE"/>
    <w:rsid w:val="004E3441"/>
    <w:rsid w:val="00500579"/>
    <w:rsid w:val="005A5366"/>
    <w:rsid w:val="005F3400"/>
    <w:rsid w:val="006369EB"/>
    <w:rsid w:val="00637E73"/>
    <w:rsid w:val="00676493"/>
    <w:rsid w:val="006865E9"/>
    <w:rsid w:val="00686E9A"/>
    <w:rsid w:val="00691F3E"/>
    <w:rsid w:val="00694BFB"/>
    <w:rsid w:val="006A106B"/>
    <w:rsid w:val="006C523D"/>
    <w:rsid w:val="006D4036"/>
    <w:rsid w:val="00754CAC"/>
    <w:rsid w:val="007A5259"/>
    <w:rsid w:val="007A7081"/>
    <w:rsid w:val="007F1CF5"/>
    <w:rsid w:val="007F528F"/>
    <w:rsid w:val="0083221F"/>
    <w:rsid w:val="00834EDE"/>
    <w:rsid w:val="00864953"/>
    <w:rsid w:val="008736AA"/>
    <w:rsid w:val="008D275D"/>
    <w:rsid w:val="00946186"/>
    <w:rsid w:val="00980327"/>
    <w:rsid w:val="0098507B"/>
    <w:rsid w:val="00985DD8"/>
    <w:rsid w:val="00986478"/>
    <w:rsid w:val="0099593B"/>
    <w:rsid w:val="009B5557"/>
    <w:rsid w:val="009F1067"/>
    <w:rsid w:val="00A31E01"/>
    <w:rsid w:val="00A527AD"/>
    <w:rsid w:val="00A718CF"/>
    <w:rsid w:val="00AA069B"/>
    <w:rsid w:val="00AE48A0"/>
    <w:rsid w:val="00AE61BE"/>
    <w:rsid w:val="00B16F25"/>
    <w:rsid w:val="00B24422"/>
    <w:rsid w:val="00B66B81"/>
    <w:rsid w:val="00B71E6F"/>
    <w:rsid w:val="00B73CE1"/>
    <w:rsid w:val="00B80C20"/>
    <w:rsid w:val="00B844FE"/>
    <w:rsid w:val="00B86B4F"/>
    <w:rsid w:val="00BA1F84"/>
    <w:rsid w:val="00BC562B"/>
    <w:rsid w:val="00BF14FB"/>
    <w:rsid w:val="00C33014"/>
    <w:rsid w:val="00C33434"/>
    <w:rsid w:val="00C34869"/>
    <w:rsid w:val="00C42EB6"/>
    <w:rsid w:val="00C4539C"/>
    <w:rsid w:val="00C56BCC"/>
    <w:rsid w:val="00C62327"/>
    <w:rsid w:val="00C85096"/>
    <w:rsid w:val="00CB20EF"/>
    <w:rsid w:val="00CC0609"/>
    <w:rsid w:val="00CC1F3B"/>
    <w:rsid w:val="00CD12CB"/>
    <w:rsid w:val="00CD36CF"/>
    <w:rsid w:val="00CF1DCA"/>
    <w:rsid w:val="00D4164B"/>
    <w:rsid w:val="00D579FC"/>
    <w:rsid w:val="00D77EB5"/>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11EA"/>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B394B"/>
  <w15:chartTrackingRefBased/>
  <w15:docId w15:val="{BB6AB20D-A641-4FED-8EA8-4E79EE402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764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7649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4805A4558E42C183E3E794FD1B85AB"/>
        <w:category>
          <w:name w:val="General"/>
          <w:gallery w:val="placeholder"/>
        </w:category>
        <w:types>
          <w:type w:val="bbPlcHdr"/>
        </w:types>
        <w:behaviors>
          <w:behavior w:val="content"/>
        </w:behaviors>
        <w:guid w:val="{34188991-79CC-4510-A845-E51DA78010E7}"/>
      </w:docPartPr>
      <w:docPartBody>
        <w:p w:rsidR="0097728C" w:rsidRDefault="0097728C">
          <w:pPr>
            <w:pStyle w:val="5A4805A4558E42C183E3E794FD1B85AB"/>
          </w:pPr>
          <w:r w:rsidRPr="00B844FE">
            <w:t>Prefix Text</w:t>
          </w:r>
        </w:p>
      </w:docPartBody>
    </w:docPart>
    <w:docPart>
      <w:docPartPr>
        <w:name w:val="63BE77EA873D486485680C53AE1715DC"/>
        <w:category>
          <w:name w:val="General"/>
          <w:gallery w:val="placeholder"/>
        </w:category>
        <w:types>
          <w:type w:val="bbPlcHdr"/>
        </w:types>
        <w:behaviors>
          <w:behavior w:val="content"/>
        </w:behaviors>
        <w:guid w:val="{90C6F8CA-9BC6-493A-AD3F-76350BFAD8B3}"/>
      </w:docPartPr>
      <w:docPartBody>
        <w:p w:rsidR="0097728C" w:rsidRDefault="0097728C">
          <w:pPr>
            <w:pStyle w:val="63BE77EA873D486485680C53AE1715DC"/>
          </w:pPr>
          <w:r w:rsidRPr="00B844FE">
            <w:t>[Type here]</w:t>
          </w:r>
        </w:p>
      </w:docPartBody>
    </w:docPart>
    <w:docPart>
      <w:docPartPr>
        <w:name w:val="25F63E5D690D4F8D91A293A4BB144805"/>
        <w:category>
          <w:name w:val="General"/>
          <w:gallery w:val="placeholder"/>
        </w:category>
        <w:types>
          <w:type w:val="bbPlcHdr"/>
        </w:types>
        <w:behaviors>
          <w:behavior w:val="content"/>
        </w:behaviors>
        <w:guid w:val="{67F235A1-6670-461B-88E4-75F2891EEC57}"/>
      </w:docPartPr>
      <w:docPartBody>
        <w:p w:rsidR="0097728C" w:rsidRDefault="0097728C">
          <w:pPr>
            <w:pStyle w:val="25F63E5D690D4F8D91A293A4BB144805"/>
          </w:pPr>
          <w:r w:rsidRPr="00B844FE">
            <w:t>Number</w:t>
          </w:r>
        </w:p>
      </w:docPartBody>
    </w:docPart>
    <w:docPart>
      <w:docPartPr>
        <w:name w:val="CE4BBEDB08B14E1F83C8A27CF2207A74"/>
        <w:category>
          <w:name w:val="General"/>
          <w:gallery w:val="placeholder"/>
        </w:category>
        <w:types>
          <w:type w:val="bbPlcHdr"/>
        </w:types>
        <w:behaviors>
          <w:behavior w:val="content"/>
        </w:behaviors>
        <w:guid w:val="{1842E405-41B6-4F7F-8B26-892A021DC0BF}"/>
      </w:docPartPr>
      <w:docPartBody>
        <w:p w:rsidR="0097728C" w:rsidRDefault="0097728C">
          <w:pPr>
            <w:pStyle w:val="CE4BBEDB08B14E1F83C8A27CF2207A74"/>
          </w:pPr>
          <w:r w:rsidRPr="00B844FE">
            <w:t>Enter Sponsors Here</w:t>
          </w:r>
        </w:p>
      </w:docPartBody>
    </w:docPart>
    <w:docPart>
      <w:docPartPr>
        <w:name w:val="F8EF156811BA4410AEDC965661F5DA2C"/>
        <w:category>
          <w:name w:val="General"/>
          <w:gallery w:val="placeholder"/>
        </w:category>
        <w:types>
          <w:type w:val="bbPlcHdr"/>
        </w:types>
        <w:behaviors>
          <w:behavior w:val="content"/>
        </w:behaviors>
        <w:guid w:val="{56887F99-3D73-42A6-8686-B4DBEC28C306}"/>
      </w:docPartPr>
      <w:docPartBody>
        <w:p w:rsidR="0097728C" w:rsidRDefault="0097728C">
          <w:pPr>
            <w:pStyle w:val="F8EF156811BA4410AEDC965661F5DA2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28C"/>
    <w:rsid w:val="000834B5"/>
    <w:rsid w:val="00215862"/>
    <w:rsid w:val="003158EC"/>
    <w:rsid w:val="0083221F"/>
    <w:rsid w:val="0097728C"/>
    <w:rsid w:val="00985DD8"/>
    <w:rsid w:val="00C4539C"/>
    <w:rsid w:val="00C56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4805A4558E42C183E3E794FD1B85AB">
    <w:name w:val="5A4805A4558E42C183E3E794FD1B85AB"/>
  </w:style>
  <w:style w:type="paragraph" w:customStyle="1" w:styleId="63BE77EA873D486485680C53AE1715DC">
    <w:name w:val="63BE77EA873D486485680C53AE1715DC"/>
  </w:style>
  <w:style w:type="paragraph" w:customStyle="1" w:styleId="25F63E5D690D4F8D91A293A4BB144805">
    <w:name w:val="25F63E5D690D4F8D91A293A4BB144805"/>
  </w:style>
  <w:style w:type="paragraph" w:customStyle="1" w:styleId="CE4BBEDB08B14E1F83C8A27CF2207A74">
    <w:name w:val="CE4BBEDB08B14E1F83C8A27CF2207A74"/>
  </w:style>
  <w:style w:type="character" w:styleId="PlaceholderText">
    <w:name w:val="Placeholder Text"/>
    <w:basedOn w:val="DefaultParagraphFont"/>
    <w:uiPriority w:val="99"/>
    <w:semiHidden/>
    <w:rPr>
      <w:color w:val="808080"/>
    </w:rPr>
  </w:style>
  <w:style w:type="paragraph" w:customStyle="1" w:styleId="F8EF156811BA4410AEDC965661F5DA2C">
    <w:name w:val="F8EF156811BA4410AEDC965661F5DA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Sam Rowe</cp:lastModifiedBy>
  <cp:revision>2</cp:revision>
  <cp:lastPrinted>2025-02-18T19:41:00Z</cp:lastPrinted>
  <dcterms:created xsi:type="dcterms:W3CDTF">2025-02-27T19:06:00Z</dcterms:created>
  <dcterms:modified xsi:type="dcterms:W3CDTF">2025-02-27T19:06:00Z</dcterms:modified>
</cp:coreProperties>
</file>